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4" w:rsidRDefault="00E66AEE">
      <w:pPr>
        <w:pStyle w:val="NoSpacing"/>
        <w:rPr>
          <w:rFonts w:hint="eastAsia"/>
          <w:sz w:val="20"/>
        </w:rPr>
      </w:pPr>
      <w:bookmarkStart w:id="0" w:name="_GoBack"/>
      <w:bookmarkEnd w:id="0"/>
      <w:r>
        <w:rPr>
          <w:sz w:val="20"/>
        </w:rPr>
        <w:t>Date: 07.06.2017    Time: 6pm</w:t>
      </w:r>
    </w:p>
    <w:p w:rsidR="00532E44" w:rsidRDefault="00532E44">
      <w:pPr>
        <w:pStyle w:val="NoSpacing"/>
        <w:rPr>
          <w:rFonts w:hint="eastAsia"/>
          <w:sz w:val="20"/>
        </w:rPr>
      </w:pPr>
    </w:p>
    <w:p w:rsidR="00532E44" w:rsidRDefault="00E66AEE">
      <w:pPr>
        <w:pStyle w:val="NoSpacing"/>
        <w:rPr>
          <w:rFonts w:hint="eastAsia"/>
          <w:sz w:val="20"/>
        </w:rPr>
      </w:pPr>
      <w:r>
        <w:rPr>
          <w:sz w:val="20"/>
        </w:rPr>
        <w:t xml:space="preserve">Attendees: </w:t>
      </w:r>
    </w:p>
    <w:p w:rsidR="00532E44" w:rsidRDefault="00E66AEE">
      <w:pPr>
        <w:pStyle w:val="NoSpacing"/>
        <w:numPr>
          <w:ilvl w:val="0"/>
          <w:numId w:val="1"/>
        </w:numPr>
        <w:tabs>
          <w:tab w:val="left" w:pos="0"/>
        </w:tabs>
        <w:rPr>
          <w:rFonts w:hint="eastAsia"/>
          <w:sz w:val="20"/>
        </w:rPr>
      </w:pPr>
      <w:r>
        <w:rPr>
          <w:sz w:val="20"/>
        </w:rPr>
        <w:t xml:space="preserve">PPG Acting Convenor - Ms Nan </w:t>
      </w:r>
      <w:proofErr w:type="spellStart"/>
      <w:r>
        <w:rPr>
          <w:sz w:val="20"/>
        </w:rPr>
        <w:t>Tewari</w:t>
      </w:r>
      <w:proofErr w:type="spellEnd"/>
    </w:p>
    <w:p w:rsidR="00532E44" w:rsidRDefault="00E66AEE">
      <w:pPr>
        <w:pStyle w:val="NoSpacing"/>
        <w:numPr>
          <w:ilvl w:val="0"/>
          <w:numId w:val="1"/>
        </w:numPr>
        <w:tabs>
          <w:tab w:val="left" w:pos="0"/>
        </w:tabs>
        <w:rPr>
          <w:rFonts w:hint="eastAsia"/>
          <w:sz w:val="20"/>
        </w:rPr>
      </w:pPr>
      <w:r>
        <w:rPr>
          <w:sz w:val="20"/>
        </w:rPr>
        <w:t>PPG Members (see attached list)</w:t>
      </w:r>
    </w:p>
    <w:p w:rsidR="00532E44" w:rsidRDefault="00E66AEE">
      <w:pPr>
        <w:pStyle w:val="NoSpacing"/>
        <w:numPr>
          <w:ilvl w:val="0"/>
          <w:numId w:val="1"/>
        </w:numPr>
        <w:tabs>
          <w:tab w:val="left" w:pos="0"/>
        </w:tabs>
        <w:rPr>
          <w:rFonts w:hint="eastAsia"/>
          <w:sz w:val="20"/>
        </w:rPr>
      </w:pPr>
      <w:proofErr w:type="spellStart"/>
      <w:r>
        <w:rPr>
          <w:sz w:val="20"/>
        </w:rPr>
        <w:t>Faraz</w:t>
      </w:r>
      <w:proofErr w:type="spellEnd"/>
      <w:r>
        <w:rPr>
          <w:sz w:val="20"/>
        </w:rPr>
        <w:t xml:space="preserve"> Ali – Deputy senior Manager AT Medics</w:t>
      </w:r>
    </w:p>
    <w:p w:rsidR="00532E44" w:rsidRDefault="00E66AEE">
      <w:pPr>
        <w:pStyle w:val="NoSpacing"/>
        <w:numPr>
          <w:ilvl w:val="0"/>
          <w:numId w:val="1"/>
        </w:numPr>
        <w:tabs>
          <w:tab w:val="left" w:pos="0"/>
        </w:tabs>
        <w:rPr>
          <w:rFonts w:hint="eastAsia"/>
          <w:sz w:val="20"/>
        </w:rPr>
      </w:pPr>
      <w:r>
        <w:rPr>
          <w:sz w:val="20"/>
        </w:rPr>
        <w:t xml:space="preserve">Neil </w:t>
      </w:r>
      <w:proofErr w:type="spellStart"/>
      <w:r>
        <w:rPr>
          <w:sz w:val="20"/>
        </w:rPr>
        <w:t>Rajamohan</w:t>
      </w:r>
      <w:proofErr w:type="spellEnd"/>
      <w:r>
        <w:rPr>
          <w:sz w:val="20"/>
        </w:rPr>
        <w:t xml:space="preserve"> – Team Lead and PPG Admin Lead The Wembley Practice </w:t>
      </w:r>
    </w:p>
    <w:p w:rsidR="00532E44" w:rsidRDefault="00532E44">
      <w:pPr>
        <w:pStyle w:val="NoSpacing"/>
        <w:rPr>
          <w:rFonts w:hint="eastAsia"/>
        </w:rPr>
      </w:pPr>
    </w:p>
    <w:tbl>
      <w:tblPr>
        <w:tblW w:w="924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67"/>
        <w:gridCol w:w="5671"/>
        <w:gridCol w:w="1304"/>
      </w:tblGrid>
      <w:tr w:rsidR="00532E44">
        <w:trPr>
          <w:trHeight w:val="528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E66AEE">
            <w:pPr>
              <w:pStyle w:val="NoSpacing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ITEMS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E66AEE">
            <w:pPr>
              <w:pStyle w:val="NoSpacing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ACTIONS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E66AEE">
            <w:pPr>
              <w:pStyle w:val="NoSpacing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By Whom/Date</w:t>
            </w:r>
          </w:p>
        </w:tc>
      </w:tr>
      <w:tr w:rsidR="00532E44">
        <w:trPr>
          <w:trHeight w:val="1113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1.  Introduction 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At Medics as an organisation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Faraz</w:t>
            </w:r>
            <w:proofErr w:type="spellEnd"/>
            <w:r>
              <w:rPr>
                <w:sz w:val="20"/>
              </w:rPr>
              <w:t xml:space="preserve"> explained to the patients that from 1 Jan 2017, the old Harness GP practice APMS contract was awarded to AT Medics which runs a current total of 35 GP practices.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He explained that the walk-in centre is </w:t>
            </w:r>
            <w:r>
              <w:rPr>
                <w:sz w:val="20"/>
              </w:rPr>
              <w:t>now separate and is accessed through the main reception door of the building.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He explained to patients that the APMS contract is subject to specific guidelines which we need to follow as required by the NHS. 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Faraz</w:t>
            </w:r>
            <w:proofErr w:type="spellEnd"/>
          </w:p>
        </w:tc>
      </w:tr>
      <w:tr w:rsidR="00532E44">
        <w:trPr>
          <w:trHeight w:val="841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2.  Patients' comments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Challenges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Sta</w:t>
            </w:r>
            <w:r>
              <w:rPr>
                <w:sz w:val="20"/>
              </w:rPr>
              <w:t>ffing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Operational Challenges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It is taking too long to get through on the telephone.  Shortage of admin /reception staff?  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It is difficult for patients to make it to appointments during current surgery hours if they are working and later appointments are therefore needed. 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It is felt that there are not enough appointment slots.  Shortage of clinical staff? 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Patient are accus</w:t>
            </w:r>
            <w:r>
              <w:rPr>
                <w:sz w:val="20"/>
              </w:rPr>
              <w:t>tomed to there being 3 services within the practice premises, namely, the Walk in/the Hub/ and the GP practice.  Now that there is only the GP practice, patients expressed dissatisfaction with the fall in quality of service offer.</w:t>
            </w:r>
          </w:p>
          <w:p w:rsidR="00532E44" w:rsidRDefault="00532E44">
            <w:pPr>
              <w:pStyle w:val="ListParagraph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Why is the practice regi</w:t>
            </w:r>
            <w:r>
              <w:rPr>
                <w:sz w:val="20"/>
              </w:rPr>
              <w:t>stering new patients when there are not enough appointment slots for the existing patient cohort?</w:t>
            </w:r>
          </w:p>
          <w:p w:rsidR="00532E44" w:rsidRDefault="00532E44">
            <w:pPr>
              <w:pStyle w:val="ListParagraph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sz w:val="20"/>
              </w:rPr>
              <w:t>Online appointments need to be made more accessible.</w:t>
            </w:r>
          </w:p>
          <w:p w:rsidR="00532E44" w:rsidRDefault="00532E44">
            <w:pPr>
              <w:pStyle w:val="NoSpacing"/>
              <w:tabs>
                <w:tab w:val="left" w:pos="0"/>
              </w:tabs>
              <w:ind w:left="720" w:hanging="36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sz w:val="20"/>
              </w:rPr>
              <w:t>There should be practical help for patients to understand how to use the online system both on home com</w:t>
            </w:r>
            <w:r>
              <w:rPr>
                <w:sz w:val="20"/>
              </w:rPr>
              <w:t>puters as well as on smartphones.</w:t>
            </w:r>
          </w:p>
          <w:p w:rsidR="00532E44" w:rsidRDefault="00532E44">
            <w:pPr>
              <w:pStyle w:val="NoSpacing"/>
              <w:tabs>
                <w:tab w:val="left" w:pos="0"/>
              </w:tabs>
              <w:ind w:left="720" w:hanging="36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2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There don't seem to be enough online appointments available.  Can there be a real-time appointments system that is equally accessible to practice staff and patients subject to the practice retaining slots for emergencies?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Patients</w:t>
            </w:r>
          </w:p>
        </w:tc>
      </w:tr>
      <w:tr w:rsidR="00532E44">
        <w:trPr>
          <w:trHeight w:val="1024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3.  Progress to date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Physician Associates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Pharmacist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Patient Check In system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Patient Calling In system 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MJOG SMS Software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Online Service 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The clinical staff team now includes GPs, Physician Associates who are medically trained and will </w:t>
            </w:r>
            <w:r>
              <w:rPr>
                <w:sz w:val="20"/>
              </w:rPr>
              <w:t>prescribe medication under the supervision of a GP, and a Pharmacist who can give longer consultations and has the time to go through full medications reviews with patients.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A new </w:t>
            </w:r>
            <w:proofErr w:type="spellStart"/>
            <w:r>
              <w:rPr>
                <w:sz w:val="20"/>
              </w:rPr>
              <w:t>self service</w:t>
            </w:r>
            <w:proofErr w:type="spellEnd"/>
            <w:r>
              <w:rPr>
                <w:sz w:val="20"/>
              </w:rPr>
              <w:t xml:space="preserve"> check in system has been installed in reception which means pa</w:t>
            </w:r>
            <w:r>
              <w:rPr>
                <w:sz w:val="20"/>
              </w:rPr>
              <w:t xml:space="preserve">tients don't have to queue up at the desk. </w:t>
            </w: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Another new system is the patient calling system which will call out </w:t>
            </w:r>
            <w:r>
              <w:rPr>
                <w:sz w:val="20"/>
              </w:rPr>
              <w:lastRenderedPageBreak/>
              <w:t>patient names and tell them which consultation room they should go to.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The practice has software called MJOG which can send text messages to </w:t>
            </w:r>
            <w:proofErr w:type="gramStart"/>
            <w:r>
              <w:rPr>
                <w:sz w:val="20"/>
              </w:rPr>
              <w:t>patients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essages</w:t>
            </w:r>
            <w:proofErr w:type="spellEnd"/>
            <w:r>
              <w:rPr>
                <w:sz w:val="20"/>
              </w:rPr>
              <w:t xml:space="preserve"> about urgent matters and updates about the practice.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It was explained to patients that they have now been given access </w:t>
            </w:r>
            <w:proofErr w:type="spellStart"/>
            <w:r>
              <w:rPr>
                <w:sz w:val="20"/>
              </w:rPr>
              <w:t>access</w:t>
            </w:r>
            <w:proofErr w:type="spellEnd"/>
            <w:r>
              <w:rPr>
                <w:sz w:val="20"/>
              </w:rPr>
              <w:t xml:space="preserve"> online to book weekend appointments which is only given to them to book and can also be pre booked by them.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Fa</w:t>
            </w:r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and Team</w:t>
            </w:r>
          </w:p>
        </w:tc>
      </w:tr>
      <w:tr w:rsidR="00532E44">
        <w:trPr>
          <w:trHeight w:val="3114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4.  Future Planning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An order has gone in for more phone lines and more staff will be recruited so calls can be answered more efficiently.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There is a target to increase online appointment bookings from 10% to 90%.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AT Medics is keen to </w:t>
            </w:r>
            <w:r>
              <w:rPr>
                <w:sz w:val="20"/>
              </w:rPr>
              <w:t>achieve the standards that will enable the Wembley Practice to become a Teaching Practice.</w:t>
            </w:r>
          </w:p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The Wembley Practice would like to offer more services to patients such as minor surgery.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Work will be done to establish a robust PPG Group that can act as a criti</w:t>
            </w:r>
            <w:r>
              <w:rPr>
                <w:sz w:val="20"/>
              </w:rPr>
              <w:t>cal friend to the practice.</w:t>
            </w:r>
          </w:p>
          <w:p w:rsidR="00532E44" w:rsidRDefault="00E66AEE">
            <w:pPr>
              <w:pStyle w:val="NoSpacing"/>
              <w:numPr>
                <w:ilvl w:val="0"/>
                <w:numId w:val="3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This will include setting out a constitution and electing a Chair for the PPG.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Faraz</w:t>
            </w:r>
            <w:proofErr w:type="spellEnd"/>
            <w:r>
              <w:rPr>
                <w:sz w:val="20"/>
              </w:rPr>
              <w:t xml:space="preserve"> and Team</w:t>
            </w:r>
          </w:p>
        </w:tc>
      </w:tr>
      <w:tr w:rsidR="00532E44">
        <w:trPr>
          <w:trHeight w:val="848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5.  AOB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sz w:val="20"/>
              </w:rPr>
              <w:t xml:space="preserve">Nan asked whether anyone wished to nominate themselves or another person to chair the next meeting.  There were no </w:t>
            </w:r>
            <w:r>
              <w:rPr>
                <w:sz w:val="20"/>
              </w:rPr>
              <w:t>nominations.</w:t>
            </w:r>
          </w:p>
          <w:p w:rsidR="00532E44" w:rsidRDefault="00532E44">
            <w:pPr>
              <w:pStyle w:val="NoSpacing"/>
              <w:tabs>
                <w:tab w:val="left" w:pos="0"/>
              </w:tabs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Patients would like to see the return of the BP /weight machine in the reception area.  This will save both staff and patients' time.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A play area will help keep to keep children occupied during the wait for appointments.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Patients suggested </w:t>
            </w:r>
            <w:r>
              <w:rPr>
                <w:sz w:val="20"/>
              </w:rPr>
              <w:t>a microphone for future meetings as the poor acoustics made it difficult to hear what people were saying.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Patients requested the practice invest in a call back system so they can give the practice a missed call and the practice will call them back.  This </w:t>
            </w:r>
            <w:r>
              <w:rPr>
                <w:sz w:val="20"/>
              </w:rPr>
              <w:t>will save much frustration.</w:t>
            </w:r>
          </w:p>
          <w:p w:rsidR="00532E44" w:rsidRDefault="00532E44">
            <w:pPr>
              <w:pStyle w:val="NoSpacing"/>
              <w:ind w:left="720"/>
              <w:rPr>
                <w:rFonts w:hint="eastAsia"/>
                <w:sz w:val="20"/>
              </w:rPr>
            </w:pPr>
          </w:p>
          <w:p w:rsidR="00532E44" w:rsidRDefault="00532E44">
            <w:pPr>
              <w:pStyle w:val="NoSpacing"/>
              <w:tabs>
                <w:tab w:val="left" w:pos="0"/>
              </w:tabs>
              <w:ind w:left="720" w:hanging="360"/>
              <w:rPr>
                <w:rFonts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2E44" w:rsidRDefault="00532E44">
            <w:pPr>
              <w:pStyle w:val="NoSpacing"/>
              <w:rPr>
                <w:rFonts w:hint="eastAsia"/>
                <w:sz w:val="20"/>
              </w:rPr>
            </w:pPr>
          </w:p>
          <w:p w:rsidR="00532E44" w:rsidRDefault="00E66AEE">
            <w:pPr>
              <w:pStyle w:val="NoSpacing"/>
              <w:rPr>
                <w:rFonts w:hint="eastAsia"/>
                <w:sz w:val="20"/>
              </w:rPr>
            </w:pPr>
            <w:r>
              <w:rPr>
                <w:sz w:val="20"/>
              </w:rPr>
              <w:t>Patients</w:t>
            </w:r>
          </w:p>
        </w:tc>
      </w:tr>
    </w:tbl>
    <w:p w:rsidR="00532E44" w:rsidRDefault="00532E44">
      <w:pPr>
        <w:pStyle w:val="NoSpacing"/>
        <w:rPr>
          <w:rFonts w:hint="eastAsia"/>
        </w:rPr>
      </w:pPr>
    </w:p>
    <w:sectPr w:rsidR="00532E44">
      <w:headerReference w:type="default" r:id="rId8"/>
      <w:pgSz w:w="11906" w:h="16838"/>
      <w:pgMar w:top="1440" w:right="1440" w:bottom="708" w:left="144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AE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66A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AE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E66A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44" w:rsidRDefault="00E66AEE">
    <w:pPr>
      <w:pStyle w:val="Header"/>
      <w:jc w:val="center"/>
      <w:rPr>
        <w:rFonts w:hint="eastAsia"/>
        <w:sz w:val="28"/>
        <w:szCs w:val="28"/>
        <w:u w:val="single"/>
      </w:rPr>
    </w:pPr>
    <w:r>
      <w:rPr>
        <w:sz w:val="28"/>
        <w:szCs w:val="28"/>
        <w:u w:val="single"/>
      </w:rPr>
      <w:t>Wembley Practice Inaugural PPG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6B4"/>
    <w:multiLevelType w:val="multilevel"/>
    <w:tmpl w:val="B352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302DAD"/>
    <w:multiLevelType w:val="multilevel"/>
    <w:tmpl w:val="DD76A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FB7FFB"/>
    <w:multiLevelType w:val="multilevel"/>
    <w:tmpl w:val="4A3E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F73E89"/>
    <w:multiLevelType w:val="multilevel"/>
    <w:tmpl w:val="805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09329C"/>
    <w:multiLevelType w:val="multilevel"/>
    <w:tmpl w:val="972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4"/>
    <w:rsid w:val="00532E44"/>
    <w:rsid w:val="00E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pPr>
      <w:widowControl w:val="0"/>
      <w:suppressAutoHyphens/>
    </w:pPr>
    <w:rPr>
      <w:color w:val="00000A"/>
      <w:sz w:val="24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styleId="Header">
    <w:name w:val="header"/>
    <w:basedOn w:val="LO-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LO-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pPr>
      <w:widowControl w:val="0"/>
      <w:suppressAutoHyphens/>
    </w:pPr>
    <w:rPr>
      <w:color w:val="00000A"/>
      <w:sz w:val="24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styleId="Header">
    <w:name w:val="header"/>
    <w:basedOn w:val="LO-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LO-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2017-12-12T09:36:00Z</dcterms:created>
  <dcterms:modified xsi:type="dcterms:W3CDTF">2017-12-12T09:36:00Z</dcterms:modified>
  <dc:language>en-GB</dc:language>
</cp:coreProperties>
</file>